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8D" w:rsidRDefault="0053388D" w:rsidP="00A06AA7">
      <w:pPr>
        <w:rPr>
          <w:rFonts w:ascii="Calibri" w:hAnsi="Calibri" w:cs="Calibri"/>
          <w:b/>
          <w:color w:val="000000"/>
          <w:sz w:val="28"/>
          <w:u w:val="single"/>
        </w:rPr>
      </w:pPr>
      <w:r>
        <w:rPr>
          <w:rFonts w:ascii="Calibri" w:hAnsi="Calibri" w:cs="Calibri"/>
          <w:b/>
          <w:color w:val="000000"/>
          <w:sz w:val="28"/>
          <w:u w:val="single"/>
        </w:rPr>
        <w:t>Fundamentals of G</w:t>
      </w:r>
      <w:r w:rsidR="006368AD" w:rsidRPr="0053388D">
        <w:rPr>
          <w:rFonts w:ascii="Calibri" w:hAnsi="Calibri" w:cs="Calibri"/>
          <w:b/>
          <w:color w:val="000000"/>
          <w:sz w:val="28"/>
          <w:u w:val="single"/>
        </w:rPr>
        <w:t xml:space="preserve">eneral Practice Nursing </w:t>
      </w:r>
    </w:p>
    <w:p w:rsidR="006368AD" w:rsidRPr="0053388D" w:rsidRDefault="006368AD" w:rsidP="00A06AA7">
      <w:pPr>
        <w:rPr>
          <w:rFonts w:ascii="Calibri" w:hAnsi="Calibri" w:cs="Calibri"/>
          <w:b/>
          <w:color w:val="000000"/>
          <w:sz w:val="28"/>
          <w:u w:val="single"/>
        </w:rPr>
      </w:pPr>
      <w:r w:rsidRPr="0053388D">
        <w:rPr>
          <w:rFonts w:ascii="Calibri" w:hAnsi="Calibri" w:cs="Calibri"/>
          <w:b/>
          <w:color w:val="000000"/>
          <w:sz w:val="28"/>
          <w:u w:val="single"/>
        </w:rPr>
        <w:t>University of Plymouth</w:t>
      </w:r>
    </w:p>
    <w:p w:rsidR="006368AD" w:rsidRDefault="006368AD" w:rsidP="00A06AA7">
      <w:pPr>
        <w:rPr>
          <w:rFonts w:ascii="Calibri" w:hAnsi="Calibri" w:cs="Calibri"/>
          <w:color w:val="000000"/>
        </w:rPr>
      </w:pPr>
    </w:p>
    <w:p w:rsidR="00A06AA7" w:rsidRDefault="00A01180" w:rsidP="00A06AA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course comprises</w:t>
      </w:r>
      <w:r w:rsidR="00A06AA7" w:rsidRPr="00A06AA7">
        <w:rPr>
          <w:rFonts w:ascii="Calibri" w:hAnsi="Calibri" w:cs="Calibri"/>
          <w:color w:val="000000"/>
        </w:rPr>
        <w:t xml:space="preserve"> three </w:t>
      </w:r>
      <w:r>
        <w:rPr>
          <w:rFonts w:ascii="Calibri" w:hAnsi="Calibri" w:cs="Calibri"/>
          <w:color w:val="000000"/>
        </w:rPr>
        <w:t xml:space="preserve">clinically focussed </w:t>
      </w:r>
      <w:r w:rsidR="00A06AA7" w:rsidRPr="00A06AA7">
        <w:rPr>
          <w:rFonts w:ascii="Calibri" w:hAnsi="Calibri" w:cs="Calibri"/>
          <w:color w:val="000000"/>
        </w:rPr>
        <w:t>modules</w:t>
      </w:r>
      <w:r>
        <w:rPr>
          <w:rFonts w:ascii="Calibri" w:hAnsi="Calibri" w:cs="Calibri"/>
          <w:color w:val="000000"/>
        </w:rPr>
        <w:t>, a</w:t>
      </w:r>
      <w:r w:rsidR="00A06AA7" w:rsidRPr="00A06AA7">
        <w:rPr>
          <w:rFonts w:ascii="Calibri" w:hAnsi="Calibri" w:cs="Calibri"/>
          <w:color w:val="000000"/>
        </w:rPr>
        <w:t>im</w:t>
      </w:r>
      <w:r>
        <w:rPr>
          <w:rFonts w:ascii="Calibri" w:hAnsi="Calibri" w:cs="Calibri"/>
          <w:color w:val="000000"/>
        </w:rPr>
        <w:t>ing to support the development of nurses and AHP practitioners</w:t>
      </w:r>
      <w:r w:rsidR="00A06AA7" w:rsidRPr="00A06AA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who are </w:t>
      </w:r>
      <w:r w:rsidR="00A06AA7" w:rsidRPr="00A06AA7">
        <w:rPr>
          <w:rFonts w:ascii="Calibri" w:hAnsi="Calibri" w:cs="Calibri"/>
          <w:color w:val="000000"/>
        </w:rPr>
        <w:t xml:space="preserve">new to </w:t>
      </w:r>
      <w:r>
        <w:rPr>
          <w:rFonts w:ascii="Calibri" w:hAnsi="Calibri" w:cs="Calibri"/>
          <w:color w:val="000000"/>
        </w:rPr>
        <w:t>General Practice. Each module builds</w:t>
      </w:r>
      <w:r w:rsidR="00A06AA7" w:rsidRPr="00A06AA7">
        <w:rPr>
          <w:rFonts w:ascii="Calibri" w:hAnsi="Calibri" w:cs="Calibri"/>
          <w:color w:val="000000"/>
        </w:rPr>
        <w:t xml:space="preserve"> on</w:t>
      </w:r>
      <w:r w:rsidR="00A0117E">
        <w:rPr>
          <w:rFonts w:ascii="Calibri" w:hAnsi="Calibri" w:cs="Calibri"/>
          <w:color w:val="000000"/>
        </w:rPr>
        <w:t xml:space="preserve"> knowledge and competencies gained</w:t>
      </w:r>
      <w:r w:rsidR="00A06AA7" w:rsidRPr="00A06AA7">
        <w:rPr>
          <w:rFonts w:ascii="Calibri" w:hAnsi="Calibri" w:cs="Calibri"/>
          <w:color w:val="000000"/>
        </w:rPr>
        <w:t xml:space="preserve"> from the previous one.</w:t>
      </w:r>
      <w:r w:rsidR="00A0117E">
        <w:rPr>
          <w:rFonts w:ascii="Calibri" w:hAnsi="Calibri" w:cs="Calibri"/>
          <w:color w:val="000000"/>
        </w:rPr>
        <w:t xml:space="preserve"> For</w:t>
      </w:r>
      <w:r w:rsidR="00A06AA7" w:rsidRPr="00A06AA7">
        <w:rPr>
          <w:rFonts w:ascii="Calibri" w:hAnsi="Calibri" w:cs="Calibri"/>
          <w:color w:val="000000"/>
        </w:rPr>
        <w:t xml:space="preserve"> example</w:t>
      </w:r>
      <w:r>
        <w:rPr>
          <w:rFonts w:ascii="Calibri" w:hAnsi="Calibri" w:cs="Calibri"/>
          <w:color w:val="000000"/>
        </w:rPr>
        <w:t xml:space="preserve">: </w:t>
      </w:r>
      <w:r w:rsidR="00A06AA7" w:rsidRPr="00A06AA7">
        <w:rPr>
          <w:rFonts w:ascii="Calibri" w:hAnsi="Calibri" w:cs="Calibri"/>
          <w:color w:val="000000"/>
        </w:rPr>
        <w:t>primary prevention, id</w:t>
      </w:r>
      <w:r>
        <w:rPr>
          <w:rFonts w:ascii="Calibri" w:hAnsi="Calibri" w:cs="Calibri"/>
          <w:color w:val="000000"/>
        </w:rPr>
        <w:t>entification, and management of cardiovascular</w:t>
      </w:r>
      <w:r w:rsidR="00A0117E">
        <w:rPr>
          <w:rFonts w:ascii="Calibri" w:hAnsi="Calibri" w:cs="Calibri"/>
          <w:color w:val="000000"/>
        </w:rPr>
        <w:t xml:space="preserve"> risk factors is explored in Module 1</w:t>
      </w:r>
      <w:r w:rsidR="003D338E">
        <w:rPr>
          <w:rFonts w:ascii="Calibri" w:hAnsi="Calibri" w:cs="Calibri"/>
          <w:color w:val="000000"/>
        </w:rPr>
        <w:t>,</w:t>
      </w:r>
      <w:r w:rsidR="00A06AA7" w:rsidRPr="00A06AA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and </w:t>
      </w:r>
      <w:r w:rsidR="00A06AA7" w:rsidRPr="00A06AA7">
        <w:rPr>
          <w:rFonts w:ascii="Calibri" w:hAnsi="Calibri" w:cs="Calibri"/>
          <w:color w:val="000000"/>
        </w:rPr>
        <w:t xml:space="preserve">secondary prevention </w:t>
      </w:r>
      <w:r w:rsidR="003D338E">
        <w:rPr>
          <w:rFonts w:ascii="Calibri" w:hAnsi="Calibri" w:cs="Calibri"/>
          <w:color w:val="000000"/>
        </w:rPr>
        <w:t>in cardiovascular and e</w:t>
      </w:r>
      <w:r w:rsidR="00A06AA7" w:rsidRPr="00A06AA7">
        <w:rPr>
          <w:rFonts w:ascii="Calibri" w:hAnsi="Calibri" w:cs="Calibri"/>
          <w:color w:val="000000"/>
        </w:rPr>
        <w:t xml:space="preserve">ndocrine conditions </w:t>
      </w:r>
      <w:r w:rsidR="00A0117E" w:rsidRPr="00A0117E">
        <w:rPr>
          <w:rFonts w:ascii="Calibri" w:hAnsi="Calibri" w:cs="Calibri"/>
          <w:color w:val="000000"/>
        </w:rPr>
        <w:t>in the following modules</w:t>
      </w:r>
      <w:r w:rsidR="003D338E">
        <w:rPr>
          <w:rFonts w:ascii="Calibri" w:hAnsi="Calibri" w:cs="Calibri"/>
          <w:color w:val="000000"/>
        </w:rPr>
        <w:t>. Module 1</w:t>
      </w:r>
      <w:r>
        <w:rPr>
          <w:rFonts w:ascii="Calibri" w:hAnsi="Calibri" w:cs="Calibri"/>
          <w:color w:val="000000"/>
        </w:rPr>
        <w:t xml:space="preserve"> </w:t>
      </w:r>
      <w:r w:rsidR="00A06AA7" w:rsidRPr="00A06AA7">
        <w:rPr>
          <w:rFonts w:ascii="Calibri" w:hAnsi="Calibri" w:cs="Calibri"/>
          <w:color w:val="000000"/>
        </w:rPr>
        <w:t>also address</w:t>
      </w:r>
      <w:r>
        <w:rPr>
          <w:rFonts w:ascii="Calibri" w:hAnsi="Calibri" w:cs="Calibri"/>
          <w:color w:val="000000"/>
        </w:rPr>
        <w:t>es</w:t>
      </w:r>
      <w:r w:rsidR="00A06AA7" w:rsidRPr="00A06AA7">
        <w:rPr>
          <w:rFonts w:ascii="Calibri" w:hAnsi="Calibri" w:cs="Calibri"/>
          <w:color w:val="000000"/>
        </w:rPr>
        <w:t xml:space="preserve"> physical health in mental health and learning disability</w:t>
      </w:r>
      <w:r w:rsidR="003D338E">
        <w:rPr>
          <w:rFonts w:ascii="Calibri" w:hAnsi="Calibri" w:cs="Calibri"/>
          <w:color w:val="000000"/>
        </w:rPr>
        <w:t>,</w:t>
      </w:r>
      <w:r w:rsidR="00A0117E">
        <w:rPr>
          <w:rFonts w:ascii="Calibri" w:hAnsi="Calibri" w:cs="Calibri"/>
          <w:color w:val="000000"/>
        </w:rPr>
        <w:t xml:space="preserve"> plus key areas of</w:t>
      </w:r>
      <w:r w:rsidR="00A0117E" w:rsidRPr="00A0117E">
        <w:rPr>
          <w:rFonts w:ascii="Calibri" w:hAnsi="Calibri" w:cs="Calibri"/>
          <w:color w:val="000000"/>
        </w:rPr>
        <w:t xml:space="preserve"> asthma management and fra</w:t>
      </w:r>
      <w:r w:rsidR="00A0117E">
        <w:rPr>
          <w:rFonts w:ascii="Calibri" w:hAnsi="Calibri" w:cs="Calibri"/>
          <w:color w:val="000000"/>
        </w:rPr>
        <w:t>ilty.</w:t>
      </w:r>
      <w:r w:rsidR="00A0117E" w:rsidRPr="00A0117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Some s</w:t>
      </w:r>
      <w:r w:rsidR="00A06AA7" w:rsidRPr="00A06AA7">
        <w:rPr>
          <w:rFonts w:ascii="Calibri" w:hAnsi="Calibri" w:cs="Calibri"/>
          <w:color w:val="000000"/>
        </w:rPr>
        <w:t>kill</w:t>
      </w:r>
      <w:r w:rsidR="00A06AA7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based competenc</w:t>
      </w:r>
      <w:r w:rsidR="00A0117E">
        <w:rPr>
          <w:rFonts w:ascii="Calibri" w:hAnsi="Calibri" w:cs="Calibri"/>
          <w:color w:val="000000"/>
        </w:rPr>
        <w:t>ies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e.g</w:t>
      </w:r>
      <w:proofErr w:type="spellEnd"/>
      <w:r>
        <w:rPr>
          <w:rFonts w:ascii="Calibri" w:hAnsi="Calibri" w:cs="Calibri"/>
          <w:color w:val="000000"/>
        </w:rPr>
        <w:t>:</w:t>
      </w:r>
      <w:r w:rsidR="00A06AA7" w:rsidRPr="00A06AA7">
        <w:rPr>
          <w:rFonts w:ascii="Calibri" w:hAnsi="Calibri" w:cs="Calibri"/>
          <w:color w:val="000000"/>
        </w:rPr>
        <w:t xml:space="preserve"> Immunisation of chi</w:t>
      </w:r>
      <w:r>
        <w:rPr>
          <w:rFonts w:ascii="Calibri" w:hAnsi="Calibri" w:cs="Calibri"/>
          <w:color w:val="000000"/>
        </w:rPr>
        <w:t>ldren and adults, or ear care,</w:t>
      </w:r>
      <w:r w:rsidR="00A06AA7" w:rsidRPr="00A06AA7">
        <w:rPr>
          <w:rFonts w:ascii="Calibri" w:hAnsi="Calibri" w:cs="Calibri"/>
          <w:color w:val="000000"/>
        </w:rPr>
        <w:t xml:space="preserve"> are offered </w:t>
      </w:r>
      <w:r w:rsidR="00A0117E">
        <w:rPr>
          <w:rFonts w:ascii="Calibri" w:hAnsi="Calibri" w:cs="Calibri"/>
          <w:color w:val="000000"/>
        </w:rPr>
        <w:t xml:space="preserve">as optional </w:t>
      </w:r>
      <w:r w:rsidR="00A06AA7" w:rsidRPr="00A06AA7">
        <w:rPr>
          <w:rFonts w:ascii="Calibri" w:hAnsi="Calibri" w:cs="Calibri"/>
          <w:color w:val="000000"/>
        </w:rPr>
        <w:t>clinical sessions</w:t>
      </w:r>
      <w:r w:rsidR="00A0117E" w:rsidRPr="00A0117E">
        <w:t xml:space="preserve"> </w:t>
      </w:r>
      <w:r w:rsidR="00A0117E" w:rsidRPr="00A0117E">
        <w:rPr>
          <w:rFonts w:ascii="Calibri" w:hAnsi="Calibri" w:cs="Calibri"/>
          <w:color w:val="000000"/>
        </w:rPr>
        <w:t>early in Module 1. These</w:t>
      </w:r>
      <w:r w:rsidR="00A06AA7" w:rsidRPr="00A06AA7">
        <w:rPr>
          <w:rFonts w:ascii="Calibri" w:hAnsi="Calibri" w:cs="Calibri"/>
          <w:color w:val="000000"/>
        </w:rPr>
        <w:t xml:space="preserve"> </w:t>
      </w:r>
      <w:r w:rsidR="00A0117E">
        <w:rPr>
          <w:rFonts w:ascii="Calibri" w:hAnsi="Calibri" w:cs="Calibri"/>
          <w:color w:val="000000"/>
        </w:rPr>
        <w:t>are not required by all students, thus are taugh</w:t>
      </w:r>
      <w:r w:rsidR="00A06AA7" w:rsidRPr="00A06AA7">
        <w:rPr>
          <w:rFonts w:ascii="Calibri" w:hAnsi="Calibri" w:cs="Calibri"/>
          <w:color w:val="000000"/>
        </w:rPr>
        <w:t>t on days otherwise set aside for highly directed online study which ca</w:t>
      </w:r>
      <w:r w:rsidR="00A0117E">
        <w:rPr>
          <w:rFonts w:ascii="Calibri" w:hAnsi="Calibri" w:cs="Calibri"/>
          <w:color w:val="000000"/>
        </w:rPr>
        <w:t>n be accessed at other times</w:t>
      </w:r>
      <w:r w:rsidR="00A06AA7" w:rsidRPr="00A06AA7">
        <w:rPr>
          <w:rFonts w:ascii="Calibri" w:hAnsi="Calibri" w:cs="Calibri"/>
          <w:color w:val="000000"/>
        </w:rPr>
        <w:t xml:space="preserve"> w</w:t>
      </w:r>
      <w:r w:rsidR="00A0117E">
        <w:rPr>
          <w:rFonts w:ascii="Calibri" w:hAnsi="Calibri" w:cs="Calibri"/>
          <w:color w:val="000000"/>
        </w:rPr>
        <w:t>ithin the 24 days of the course.</w:t>
      </w:r>
    </w:p>
    <w:p w:rsidR="006368AD" w:rsidRPr="00A06AA7" w:rsidRDefault="006368AD" w:rsidP="00A06AA7">
      <w:pPr>
        <w:rPr>
          <w:rFonts w:ascii="Calibri" w:hAnsi="Calibri" w:cs="Calibri"/>
          <w:color w:val="000000"/>
        </w:rPr>
      </w:pPr>
    </w:p>
    <w:p w:rsidR="00A06AA7" w:rsidRPr="0053388D" w:rsidRDefault="00A06AA7" w:rsidP="00A06AA7">
      <w:pPr>
        <w:rPr>
          <w:rFonts w:ascii="Calibri" w:hAnsi="Calibri" w:cs="Calibri"/>
          <w:color w:val="000000"/>
          <w:u w:val="single"/>
        </w:rPr>
      </w:pPr>
      <w:r w:rsidRPr="0053388D">
        <w:rPr>
          <w:rFonts w:ascii="Calibri" w:hAnsi="Calibri" w:cs="Calibri"/>
          <w:color w:val="000000"/>
          <w:u w:val="single"/>
        </w:rPr>
        <w:t>Module 1</w:t>
      </w:r>
      <w:r w:rsidR="006368AD" w:rsidRPr="0053388D">
        <w:rPr>
          <w:rFonts w:ascii="Calibri" w:hAnsi="Calibri" w:cs="Calibri"/>
          <w:color w:val="000000"/>
          <w:u w:val="single"/>
        </w:rPr>
        <w:t>:</w:t>
      </w:r>
    </w:p>
    <w:p w:rsidR="00A06AA7" w:rsidRPr="006368AD" w:rsidRDefault="00A06AA7" w:rsidP="006368A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6368AD">
        <w:rPr>
          <w:rFonts w:ascii="Calibri" w:hAnsi="Calibri" w:cs="Calibri"/>
          <w:color w:val="000000"/>
        </w:rPr>
        <w:t>Primary Prevention, Health Promotion, Health Screening</w:t>
      </w:r>
    </w:p>
    <w:p w:rsidR="00A06AA7" w:rsidRPr="006368AD" w:rsidRDefault="00A06AA7" w:rsidP="006368A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6368AD">
        <w:rPr>
          <w:rFonts w:ascii="Calibri" w:hAnsi="Calibri" w:cs="Calibri"/>
          <w:color w:val="000000"/>
        </w:rPr>
        <w:t>Immunisations of children and adults</w:t>
      </w:r>
    </w:p>
    <w:p w:rsidR="00A06AA7" w:rsidRPr="006368AD" w:rsidRDefault="00A06AA7" w:rsidP="006368A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6368AD">
        <w:rPr>
          <w:rFonts w:ascii="Calibri" w:hAnsi="Calibri" w:cs="Calibri"/>
          <w:color w:val="000000"/>
        </w:rPr>
        <w:t>Ear Care</w:t>
      </w:r>
    </w:p>
    <w:p w:rsidR="00A06AA7" w:rsidRPr="006368AD" w:rsidRDefault="00A06AA7" w:rsidP="006368A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6368AD">
        <w:rPr>
          <w:rFonts w:ascii="Calibri" w:hAnsi="Calibri" w:cs="Calibri"/>
          <w:color w:val="000000"/>
        </w:rPr>
        <w:t>Physical Health in Mental Health and Learning Disability</w:t>
      </w:r>
    </w:p>
    <w:p w:rsidR="00A06AA7" w:rsidRPr="006368AD" w:rsidRDefault="003D338E" w:rsidP="006368A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Diagnosis &amp;</w:t>
      </w:r>
      <w:r w:rsidR="00A06AA7" w:rsidRPr="006368AD">
        <w:rPr>
          <w:rFonts w:ascii="Calibri" w:hAnsi="Calibri" w:cs="Calibri"/>
          <w:color w:val="000000"/>
        </w:rPr>
        <w:t xml:space="preserve"> Mana</w:t>
      </w:r>
      <w:r>
        <w:rPr>
          <w:rFonts w:ascii="Calibri" w:hAnsi="Calibri" w:cs="Calibri"/>
          <w:color w:val="000000"/>
        </w:rPr>
        <w:t>gement of Hypertension (+</w:t>
      </w:r>
      <w:r w:rsidR="00A06AA7" w:rsidRPr="006368AD">
        <w:rPr>
          <w:rFonts w:ascii="Calibri" w:hAnsi="Calibri" w:cs="Calibri"/>
          <w:color w:val="000000"/>
        </w:rPr>
        <w:t xml:space="preserve"> understanding pharmacological therapies</w:t>
      </w:r>
      <w:r>
        <w:rPr>
          <w:rFonts w:ascii="Calibri" w:hAnsi="Calibri" w:cs="Calibri"/>
          <w:color w:val="000000"/>
        </w:rPr>
        <w:t>)</w:t>
      </w:r>
    </w:p>
    <w:p w:rsidR="00A06AA7" w:rsidRPr="006368AD" w:rsidRDefault="00A06AA7" w:rsidP="006368A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6368AD">
        <w:rPr>
          <w:rFonts w:ascii="Calibri" w:hAnsi="Calibri" w:cs="Calibri"/>
          <w:color w:val="000000"/>
        </w:rPr>
        <w:t>Introd</w:t>
      </w:r>
      <w:r w:rsidR="003D338E">
        <w:rPr>
          <w:rFonts w:ascii="Calibri" w:hAnsi="Calibri" w:cs="Calibri"/>
          <w:color w:val="000000"/>
        </w:rPr>
        <w:t>uction to Asthma management in P</w:t>
      </w:r>
      <w:r w:rsidRPr="006368AD">
        <w:rPr>
          <w:rFonts w:ascii="Calibri" w:hAnsi="Calibri" w:cs="Calibri"/>
          <w:color w:val="000000"/>
        </w:rPr>
        <w:t>rimary Care</w:t>
      </w:r>
    </w:p>
    <w:p w:rsidR="00A06AA7" w:rsidRPr="006368AD" w:rsidRDefault="00A06AA7" w:rsidP="006368A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6368AD">
        <w:rPr>
          <w:rFonts w:ascii="Calibri" w:hAnsi="Calibri" w:cs="Calibri"/>
          <w:color w:val="000000"/>
        </w:rPr>
        <w:t>Frailty </w:t>
      </w:r>
    </w:p>
    <w:p w:rsidR="00A06AA7" w:rsidRPr="00A06AA7" w:rsidRDefault="00A06AA7" w:rsidP="00A06AA7">
      <w:pPr>
        <w:rPr>
          <w:rFonts w:ascii="Calibri" w:hAnsi="Calibri" w:cs="Calibri"/>
          <w:color w:val="000000"/>
        </w:rPr>
      </w:pPr>
    </w:p>
    <w:p w:rsidR="00A06AA7" w:rsidRPr="0053388D" w:rsidRDefault="0053388D" w:rsidP="00A06AA7">
      <w:pPr>
        <w:rPr>
          <w:rFonts w:ascii="Calibri" w:hAnsi="Calibri" w:cs="Calibri"/>
          <w:color w:val="000000"/>
          <w:u w:val="single"/>
        </w:rPr>
      </w:pPr>
      <w:r w:rsidRPr="0053388D">
        <w:rPr>
          <w:rFonts w:ascii="Calibri" w:hAnsi="Calibri" w:cs="Calibri"/>
          <w:color w:val="000000"/>
          <w:u w:val="single"/>
        </w:rPr>
        <w:t>Module 2:</w:t>
      </w:r>
    </w:p>
    <w:p w:rsidR="00A06AA7" w:rsidRPr="006368AD" w:rsidRDefault="00A06AA7" w:rsidP="006368AD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6368AD">
        <w:rPr>
          <w:rFonts w:ascii="Calibri" w:hAnsi="Calibri" w:cs="Calibri"/>
          <w:color w:val="000000"/>
        </w:rPr>
        <w:t>Managing consultations</w:t>
      </w:r>
    </w:p>
    <w:p w:rsidR="00A06AA7" w:rsidRPr="006368AD" w:rsidRDefault="00A06AA7" w:rsidP="006368AD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6368AD">
        <w:rPr>
          <w:rFonts w:ascii="Calibri" w:hAnsi="Calibri" w:cs="Calibri"/>
          <w:color w:val="000000"/>
        </w:rPr>
        <w:t>History taking and basic clinical examination skills</w:t>
      </w:r>
      <w:bookmarkStart w:id="0" w:name="_GoBack"/>
      <w:bookmarkEnd w:id="0"/>
    </w:p>
    <w:p w:rsidR="00A06AA7" w:rsidRPr="006368AD" w:rsidRDefault="00A06AA7" w:rsidP="006368AD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6368AD">
        <w:rPr>
          <w:rFonts w:ascii="Calibri" w:hAnsi="Calibri" w:cs="Calibri"/>
          <w:color w:val="000000"/>
        </w:rPr>
        <w:t>Using technology in healthcare</w:t>
      </w:r>
    </w:p>
    <w:p w:rsidR="00A06AA7" w:rsidRPr="006368AD" w:rsidRDefault="00A06AA7" w:rsidP="006368AD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6368AD">
        <w:rPr>
          <w:rFonts w:ascii="Calibri" w:hAnsi="Calibri" w:cs="Calibri"/>
          <w:color w:val="000000"/>
        </w:rPr>
        <w:t>Tissue viability and wound care</w:t>
      </w:r>
    </w:p>
    <w:p w:rsidR="00A06AA7" w:rsidRPr="006368AD" w:rsidRDefault="00A06AA7" w:rsidP="006368AD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6368AD">
        <w:rPr>
          <w:rFonts w:ascii="Calibri" w:hAnsi="Calibri" w:cs="Calibri"/>
          <w:color w:val="000000"/>
        </w:rPr>
        <w:t>Multi</w:t>
      </w:r>
      <w:r w:rsidR="0053388D">
        <w:rPr>
          <w:rFonts w:ascii="Calibri" w:hAnsi="Calibri" w:cs="Calibri"/>
          <w:color w:val="000000"/>
        </w:rPr>
        <w:t>-</w:t>
      </w:r>
      <w:r w:rsidRPr="006368AD">
        <w:rPr>
          <w:rFonts w:ascii="Calibri" w:hAnsi="Calibri" w:cs="Calibri"/>
          <w:color w:val="000000"/>
        </w:rPr>
        <w:t>morbidity and polypharmacy</w:t>
      </w:r>
    </w:p>
    <w:p w:rsidR="00A06AA7" w:rsidRPr="006368AD" w:rsidRDefault="00A06AA7" w:rsidP="006368AD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6368AD">
        <w:rPr>
          <w:rFonts w:ascii="Calibri" w:hAnsi="Calibri" w:cs="Calibri"/>
          <w:color w:val="000000"/>
        </w:rPr>
        <w:t xml:space="preserve">Secondary prevention in </w:t>
      </w:r>
      <w:r w:rsidR="0053388D" w:rsidRPr="006368AD">
        <w:rPr>
          <w:rFonts w:ascii="Calibri" w:hAnsi="Calibri" w:cs="Calibri"/>
          <w:color w:val="000000"/>
        </w:rPr>
        <w:t>CVD Atrial</w:t>
      </w:r>
      <w:r w:rsidRPr="006368AD">
        <w:rPr>
          <w:rFonts w:ascii="Calibri" w:hAnsi="Calibri" w:cs="Calibri"/>
          <w:color w:val="000000"/>
        </w:rPr>
        <w:t xml:space="preserve"> fibrillation, Care post MI, stroke and TIA</w:t>
      </w:r>
    </w:p>
    <w:p w:rsidR="00A06AA7" w:rsidRPr="006368AD" w:rsidRDefault="00A06AA7" w:rsidP="006368AD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6368AD">
        <w:rPr>
          <w:rFonts w:ascii="Calibri" w:hAnsi="Calibri" w:cs="Calibri"/>
          <w:color w:val="000000"/>
        </w:rPr>
        <w:t>Dementia</w:t>
      </w:r>
    </w:p>
    <w:p w:rsidR="006368AD" w:rsidRDefault="006368AD" w:rsidP="006368AD">
      <w:pPr>
        <w:rPr>
          <w:rFonts w:ascii="Calibri" w:hAnsi="Calibri" w:cs="Calibri"/>
          <w:color w:val="000000"/>
        </w:rPr>
      </w:pPr>
    </w:p>
    <w:p w:rsidR="00A06AA7" w:rsidRPr="0053388D" w:rsidRDefault="00A06AA7" w:rsidP="006368AD">
      <w:pPr>
        <w:rPr>
          <w:rFonts w:ascii="Calibri" w:hAnsi="Calibri" w:cs="Calibri"/>
          <w:color w:val="000000"/>
          <w:u w:val="single"/>
        </w:rPr>
      </w:pPr>
      <w:r w:rsidRPr="0053388D">
        <w:rPr>
          <w:rFonts w:ascii="Calibri" w:hAnsi="Calibri" w:cs="Calibri"/>
          <w:color w:val="000000"/>
          <w:u w:val="single"/>
        </w:rPr>
        <w:t>Module 3</w:t>
      </w:r>
    </w:p>
    <w:p w:rsidR="00A06AA7" w:rsidRPr="006368AD" w:rsidRDefault="00A06AA7" w:rsidP="006368AD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6368AD">
        <w:rPr>
          <w:rFonts w:ascii="Calibri" w:hAnsi="Calibri" w:cs="Calibri"/>
          <w:color w:val="000000"/>
        </w:rPr>
        <w:t>Contraception and Sexual Health</w:t>
      </w:r>
    </w:p>
    <w:p w:rsidR="00A06AA7" w:rsidRPr="006368AD" w:rsidRDefault="00A06AA7" w:rsidP="006368AD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6368AD">
        <w:rPr>
          <w:rFonts w:ascii="Calibri" w:hAnsi="Calibri" w:cs="Calibri"/>
          <w:color w:val="000000"/>
        </w:rPr>
        <w:t>An introduction to neurological diseases </w:t>
      </w:r>
    </w:p>
    <w:p w:rsidR="00A06AA7" w:rsidRPr="006368AD" w:rsidRDefault="00A06AA7" w:rsidP="006368AD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6368AD">
        <w:rPr>
          <w:rFonts w:ascii="Calibri" w:hAnsi="Calibri" w:cs="Calibri"/>
          <w:color w:val="000000"/>
        </w:rPr>
        <w:t>Epilepsy</w:t>
      </w:r>
    </w:p>
    <w:p w:rsidR="00A06AA7" w:rsidRPr="006368AD" w:rsidRDefault="00A06AA7" w:rsidP="006368AD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6368AD">
        <w:rPr>
          <w:rFonts w:ascii="Calibri" w:hAnsi="Calibri" w:cs="Calibri"/>
          <w:color w:val="000000"/>
        </w:rPr>
        <w:t>Diabetes</w:t>
      </w:r>
    </w:p>
    <w:p w:rsidR="00A06AA7" w:rsidRPr="006368AD" w:rsidRDefault="00A06AA7" w:rsidP="006368AD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6368AD">
        <w:rPr>
          <w:rFonts w:ascii="Calibri" w:hAnsi="Calibri" w:cs="Calibri"/>
          <w:color w:val="000000"/>
        </w:rPr>
        <w:t>Chronic Obstructive Pulmonary Disease</w:t>
      </w:r>
    </w:p>
    <w:p w:rsidR="00A06AA7" w:rsidRPr="006368AD" w:rsidRDefault="00A06AA7" w:rsidP="006368AD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6368AD">
        <w:rPr>
          <w:rFonts w:ascii="Calibri" w:hAnsi="Calibri" w:cs="Calibri"/>
          <w:color w:val="000000"/>
        </w:rPr>
        <w:t>Travel Health</w:t>
      </w:r>
    </w:p>
    <w:p w:rsidR="00A06AA7" w:rsidRPr="006368AD" w:rsidRDefault="003D338E" w:rsidP="006368AD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Evidence based guidance: </w:t>
      </w:r>
      <w:r w:rsidR="006368AD">
        <w:rPr>
          <w:rFonts w:ascii="Calibri" w:hAnsi="Calibri" w:cs="Calibri"/>
          <w:color w:val="000000"/>
        </w:rPr>
        <w:t>focus on common conditions 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e.g</w:t>
      </w:r>
      <w:proofErr w:type="spellEnd"/>
      <w:r>
        <w:rPr>
          <w:rFonts w:ascii="Calibri" w:hAnsi="Calibri" w:cs="Calibri"/>
          <w:color w:val="000000"/>
        </w:rPr>
        <w:t xml:space="preserve">: </w:t>
      </w:r>
      <w:r w:rsidR="00A06AA7" w:rsidRPr="006368AD">
        <w:rPr>
          <w:rFonts w:ascii="Calibri" w:hAnsi="Calibri" w:cs="Calibri"/>
          <w:color w:val="000000"/>
        </w:rPr>
        <w:t>arthritis</w:t>
      </w:r>
      <w:r>
        <w:rPr>
          <w:rFonts w:ascii="Calibri" w:hAnsi="Calibri" w:cs="Calibri"/>
          <w:color w:val="000000"/>
        </w:rPr>
        <w:t>, h</w:t>
      </w:r>
      <w:r w:rsidR="00A06AA7" w:rsidRPr="006368AD">
        <w:rPr>
          <w:rFonts w:ascii="Calibri" w:hAnsi="Calibri" w:cs="Calibri"/>
          <w:color w:val="000000"/>
        </w:rPr>
        <w:t>eart failure</w:t>
      </w:r>
      <w:r>
        <w:rPr>
          <w:rFonts w:ascii="Calibri" w:hAnsi="Calibri" w:cs="Calibri"/>
          <w:color w:val="000000"/>
        </w:rPr>
        <w:t>)</w:t>
      </w:r>
    </w:p>
    <w:p w:rsidR="00A06AA7" w:rsidRPr="00A06AA7" w:rsidRDefault="00A06AA7" w:rsidP="00A06AA7">
      <w:pPr>
        <w:rPr>
          <w:rFonts w:ascii="Calibri" w:hAnsi="Calibri" w:cs="Calibri"/>
          <w:color w:val="000000"/>
        </w:rPr>
      </w:pPr>
    </w:p>
    <w:p w:rsidR="00A06AA7" w:rsidRPr="00A06AA7" w:rsidRDefault="003D338E" w:rsidP="00A06AA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Each taught day has</w:t>
      </w:r>
      <w:r w:rsidR="00A06AA7" w:rsidRPr="00A06AA7">
        <w:rPr>
          <w:rFonts w:ascii="Calibri" w:hAnsi="Calibri" w:cs="Calibri"/>
          <w:color w:val="000000"/>
        </w:rPr>
        <w:t xml:space="preserve"> a suggested </w:t>
      </w:r>
      <w:r w:rsidR="006368AD">
        <w:rPr>
          <w:rFonts w:ascii="Calibri" w:hAnsi="Calibri" w:cs="Calibri"/>
          <w:color w:val="000000"/>
        </w:rPr>
        <w:t>work-based activity</w:t>
      </w:r>
      <w:r>
        <w:rPr>
          <w:rFonts w:ascii="Calibri" w:hAnsi="Calibri" w:cs="Calibri"/>
          <w:color w:val="000000"/>
        </w:rPr>
        <w:t xml:space="preserve"> </w:t>
      </w:r>
      <w:r w:rsidR="00A06AA7" w:rsidRPr="00A06AA7">
        <w:rPr>
          <w:rFonts w:ascii="Calibri" w:hAnsi="Calibri" w:cs="Calibri"/>
          <w:color w:val="000000"/>
        </w:rPr>
        <w:t>to embed knowledge</w:t>
      </w:r>
      <w:r>
        <w:rPr>
          <w:rFonts w:ascii="Calibri" w:hAnsi="Calibri" w:cs="Calibri"/>
          <w:color w:val="000000"/>
        </w:rPr>
        <w:t xml:space="preserve">. This </w:t>
      </w:r>
      <w:r w:rsidR="00A06AA7" w:rsidRPr="00A06AA7">
        <w:rPr>
          <w:rFonts w:ascii="Calibri" w:hAnsi="Calibri" w:cs="Calibri"/>
          <w:color w:val="000000"/>
        </w:rPr>
        <w:t>provide</w:t>
      </w:r>
      <w:r>
        <w:rPr>
          <w:rFonts w:ascii="Calibri" w:hAnsi="Calibri" w:cs="Calibri"/>
          <w:color w:val="000000"/>
        </w:rPr>
        <w:t>s</w:t>
      </w:r>
      <w:r w:rsidR="00A06AA7" w:rsidRPr="00A06AA7">
        <w:rPr>
          <w:rFonts w:ascii="Calibri" w:hAnsi="Calibri" w:cs="Calibri"/>
          <w:color w:val="000000"/>
        </w:rPr>
        <w:t xml:space="preserve"> evidence to suppo</w:t>
      </w:r>
      <w:r>
        <w:rPr>
          <w:rFonts w:ascii="Calibri" w:hAnsi="Calibri" w:cs="Calibri"/>
          <w:color w:val="000000"/>
        </w:rPr>
        <w:t>rt competency achievement. Students are</w:t>
      </w:r>
      <w:r w:rsidR="00A06AA7" w:rsidRPr="00A06AA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additionally </w:t>
      </w:r>
      <w:r w:rsidR="00A06AA7" w:rsidRPr="00A06AA7">
        <w:rPr>
          <w:rFonts w:ascii="Calibri" w:hAnsi="Calibri" w:cs="Calibri"/>
          <w:color w:val="000000"/>
        </w:rPr>
        <w:t>encouraged to acces</w:t>
      </w:r>
      <w:r>
        <w:rPr>
          <w:rFonts w:ascii="Calibri" w:hAnsi="Calibri" w:cs="Calibri"/>
          <w:color w:val="000000"/>
        </w:rPr>
        <w:t xml:space="preserve">s online learning and to create and participate in </w:t>
      </w:r>
      <w:r w:rsidR="00A06AA7" w:rsidRPr="00A06AA7">
        <w:rPr>
          <w:rFonts w:ascii="Calibri" w:hAnsi="Calibri" w:cs="Calibri"/>
          <w:color w:val="000000"/>
        </w:rPr>
        <w:t xml:space="preserve">communities of </w:t>
      </w:r>
      <w:r>
        <w:rPr>
          <w:rFonts w:ascii="Calibri" w:hAnsi="Calibri" w:cs="Calibri"/>
          <w:color w:val="000000"/>
        </w:rPr>
        <w:t>practice</w:t>
      </w:r>
      <w:r w:rsidR="00A06AA7" w:rsidRPr="00A06AA7">
        <w:rPr>
          <w:rFonts w:ascii="Calibri" w:hAnsi="Calibri" w:cs="Calibri"/>
          <w:color w:val="000000"/>
        </w:rPr>
        <w:t>. </w:t>
      </w:r>
    </w:p>
    <w:p w:rsidR="00A06AA7" w:rsidRDefault="00A06AA7" w:rsidP="00A06AA7">
      <w:pPr>
        <w:rPr>
          <w:rFonts w:ascii="Calibri" w:hAnsi="Calibri" w:cs="Calibri"/>
          <w:color w:val="000000"/>
        </w:rPr>
      </w:pPr>
      <w:r w:rsidRPr="00A06AA7">
        <w:rPr>
          <w:rFonts w:ascii="Calibri" w:hAnsi="Calibri" w:cs="Calibri"/>
          <w:color w:val="000000"/>
        </w:rPr>
        <w:t>As always the course is taught by current practitioners and therefore will be flexible in terms of content</w:t>
      </w:r>
      <w:r w:rsidR="0053388D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 </w:t>
      </w:r>
    </w:p>
    <w:p w:rsidR="00023BD2" w:rsidRDefault="00023BD2"/>
    <w:sectPr w:rsidR="00023BD2" w:rsidSect="004E0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BF4"/>
    <w:multiLevelType w:val="hybridMultilevel"/>
    <w:tmpl w:val="B09CC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642553"/>
    <w:multiLevelType w:val="hybridMultilevel"/>
    <w:tmpl w:val="3B9C6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721413"/>
    <w:multiLevelType w:val="hybridMultilevel"/>
    <w:tmpl w:val="AAE47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A7"/>
    <w:rsid w:val="00023BD2"/>
    <w:rsid w:val="003D338E"/>
    <w:rsid w:val="004E05DD"/>
    <w:rsid w:val="0053388D"/>
    <w:rsid w:val="006368AD"/>
    <w:rsid w:val="0099671A"/>
    <w:rsid w:val="00A0117E"/>
    <w:rsid w:val="00A01180"/>
    <w:rsid w:val="00A06AA7"/>
    <w:rsid w:val="00D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9EC87-421E-4C94-B370-E9AE38B9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AA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 Clark</dc:creator>
  <cp:keywords/>
  <dc:description/>
  <cp:lastModifiedBy>Lara Barratt</cp:lastModifiedBy>
  <cp:revision>2</cp:revision>
  <dcterms:created xsi:type="dcterms:W3CDTF">2020-07-29T10:56:00Z</dcterms:created>
  <dcterms:modified xsi:type="dcterms:W3CDTF">2020-07-29T10:56:00Z</dcterms:modified>
</cp:coreProperties>
</file>